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1990725" cy="85725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5037380</wp:posOffset>
            </wp:positionH>
            <wp:positionV relativeFrom="paragraph">
              <wp:posOffset>114300</wp:posOffset>
            </wp:positionV>
            <wp:extent cx="791920" cy="816928"/>
            <wp:effectExtent b="0" l="0" r="0" t="0"/>
            <wp:wrapSquare wrapText="bothSides" distB="114300" distT="114300" distL="114300" distR="11430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1920" cy="8169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rFonts w:ascii="Arial" w:cs="Arial" w:eastAsia="Arial" w:hAnsi="Arial"/>
          <w:b w:val="0"/>
          <w:sz w:val="36"/>
          <w:szCs w:val="36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sz w:val="36"/>
              <w:szCs w:val="36"/>
              <w:vertAlign w:val="baseline"/>
              <w:rtl w:val="0"/>
            </w:rPr>
            <w:t xml:space="preserve">Garðfuglakönnun Fuglaverndar veturinn 2019−2020</w:t>
          </w:r>
        </w:sdtContent>
      </w:sdt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Markmiðið með Garðfuglakönnuninni er sem fyrr að athuga hvaða fuglar sækja í garða, í hve miklu magni og breytingar í tegundasamsetningu yfir vetrarmánuðina, skoða breytileika milli ára.  Nánari upplýsingar á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https://fuglavernd.is/verkefnin/gardfuglar/gardfuglakonnun/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Staður: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Athugunarvika: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850"/>
        <w:gridCol w:w="851"/>
        <w:gridCol w:w="850"/>
        <w:gridCol w:w="851"/>
        <w:gridCol w:w="850"/>
        <w:gridCol w:w="821"/>
        <w:gridCol w:w="789"/>
        <w:tblGridChange w:id="0">
          <w:tblGrid>
            <w:gridCol w:w="2660"/>
            <w:gridCol w:w="850"/>
            <w:gridCol w:w="851"/>
            <w:gridCol w:w="850"/>
            <w:gridCol w:w="851"/>
            <w:gridCol w:w="850"/>
            <w:gridCol w:w="821"/>
            <w:gridCol w:w="789"/>
          </w:tblGrid>
        </w:tblGridChange>
      </w:tblGrid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Tegund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Sun.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Mán.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Þri.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Mið.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Fim.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Fös.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Lau.</w:t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Athugasemdir: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851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uglavernd.is/verkefnin/gardfuglar/gardfuglakonnu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SLZ/b37y+4+cB5yaozGv6QbcA==">AMUW2mUtUZStqy3U7MnfJXjfK2IES9+Qe7ELzBxYXKxY/KXIjWe1nO+kOP5RhgXBkquTyeNIFQZ1k7AjOeIMd9+jofpkyMm+Kbx0SIJDKOhUTDxzHqW7YGAju5gowEmC/EDXn1RUcON4A3HNM6y7U/H8FTx9tmsO9b6cDw2N+YVoFDIphmxzyNA=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2015-10-24T12:17:00Z</dcterms:created>
  <dc:creator>IBM</dc:creator>
</cp:coreProperties>
</file>